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70D" w:rsidRPr="0059070D" w:rsidRDefault="0059070D" w:rsidP="0059070D">
      <w:pPr>
        <w:jc w:val="center"/>
        <w:rPr>
          <w:b/>
          <w:color w:val="000000"/>
        </w:rPr>
      </w:pPr>
      <w:r w:rsidRPr="0059070D">
        <w:rPr>
          <w:b/>
          <w:color w:val="000000"/>
        </w:rPr>
        <w:t>АНАЛИЗ</w:t>
      </w:r>
    </w:p>
    <w:p w:rsidR="0059070D" w:rsidRPr="0059070D" w:rsidRDefault="0059070D" w:rsidP="0059070D">
      <w:pPr>
        <w:jc w:val="center"/>
        <w:rPr>
          <w:b/>
          <w:color w:val="000000"/>
        </w:rPr>
      </w:pPr>
      <w:r w:rsidRPr="0059070D">
        <w:rPr>
          <w:b/>
          <w:color w:val="000000"/>
        </w:rPr>
        <w:t xml:space="preserve">выполнения </w:t>
      </w:r>
      <w:r w:rsidRPr="0059070D">
        <w:rPr>
          <w:b/>
          <w:bCs/>
        </w:rPr>
        <w:t>муниципального задания</w:t>
      </w:r>
      <w:r w:rsidRPr="0059070D">
        <w:rPr>
          <w:b/>
          <w:color w:val="000000"/>
        </w:rPr>
        <w:t xml:space="preserve"> муниципального образовательного учреждения</w:t>
      </w:r>
      <w:r>
        <w:rPr>
          <w:color w:val="000000"/>
        </w:rPr>
        <w:t xml:space="preserve"> </w:t>
      </w:r>
      <w:r w:rsidRPr="0059070D">
        <w:rPr>
          <w:b/>
          <w:color w:val="000000"/>
        </w:rPr>
        <w:t>Кипчаковской средней общеобразовательной школы муниципального образования – Кораблинский муниципальный район Рязанской области за 8 месяцев 2012 года</w:t>
      </w:r>
    </w:p>
    <w:p w:rsidR="0059070D" w:rsidRDefault="0059070D" w:rsidP="0059070D">
      <w:pPr>
        <w:jc w:val="center"/>
        <w:rPr>
          <w:color w:val="000000"/>
        </w:rPr>
      </w:pPr>
    </w:p>
    <w:p w:rsidR="0059070D" w:rsidRDefault="0059070D" w:rsidP="0059070D">
      <w:pPr>
        <w:jc w:val="both"/>
        <w:rPr>
          <w:spacing w:val="-21"/>
        </w:rPr>
      </w:pPr>
      <w:r>
        <w:rPr>
          <w:color w:val="000000"/>
        </w:rPr>
        <w:t> </w:t>
      </w:r>
      <w:r>
        <w:rPr>
          <w:spacing w:val="-2"/>
        </w:rPr>
        <w:t>Цели деятельности муниципального учреждения:</w:t>
      </w:r>
    </w:p>
    <w:p w:rsidR="0059070D" w:rsidRDefault="0059070D" w:rsidP="0059070D">
      <w:pPr>
        <w:jc w:val="both"/>
      </w:pPr>
      <w:proofErr w:type="gramStart"/>
      <w:r>
        <w:t>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59070D" w:rsidRDefault="0059070D" w:rsidP="0059070D">
      <w:pPr>
        <w:jc w:val="both"/>
        <w:rPr>
          <w:color w:val="000000"/>
        </w:rPr>
      </w:pPr>
    </w:p>
    <w:p w:rsidR="0059070D" w:rsidRDefault="0059070D" w:rsidP="0059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1. Наименование муниципальной услуги  - организация предоставления общедоступного  бесплатного  начального  общего, основного общего и среднего  (полного) общего образования по  основным  общеобразовательным  программам.</w:t>
      </w:r>
    </w:p>
    <w:p w:rsidR="0059070D" w:rsidRDefault="0059070D" w:rsidP="0059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9070D" w:rsidRDefault="0059070D" w:rsidP="0059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2. Потребители муниципальной услуги -   несовершеннолетние  граждане, достигшие  возраста  6 лет 6 месяцев. </w:t>
      </w:r>
    </w:p>
    <w:p w:rsidR="0059070D" w:rsidRDefault="0059070D" w:rsidP="0059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9070D" w:rsidRDefault="0059070D" w:rsidP="0059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3. Показатели, характеризующие  объем  и  качество  муниципальной услуги</w:t>
      </w:r>
    </w:p>
    <w:p w:rsidR="0059070D" w:rsidRDefault="0059070D" w:rsidP="0059070D">
      <w:pPr>
        <w:jc w:val="both"/>
        <w:rPr>
          <w:color w:val="000000"/>
        </w:rPr>
      </w:pPr>
      <w:r>
        <w:rPr>
          <w:color w:val="000000"/>
        </w:rPr>
        <w:t>3.1. Плановый  объем   оказываемых услуг (выполняемых работ) (в  натуральных показателях)</w:t>
      </w:r>
    </w:p>
    <w:tbl>
      <w:tblPr>
        <w:tblW w:w="1065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1439"/>
        <w:gridCol w:w="1871"/>
        <w:gridCol w:w="1859"/>
        <w:gridCol w:w="1954"/>
        <w:gridCol w:w="1979"/>
      </w:tblGrid>
      <w:tr w:rsidR="0059070D" w:rsidTr="0059070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оказания услуг (выполнения работ)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59070D" w:rsidTr="0059070D">
        <w:tc>
          <w:tcPr>
            <w:tcW w:w="10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D" w:rsidRDefault="0059070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D" w:rsidRDefault="0059070D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D" w:rsidRDefault="0059070D"/>
        </w:tc>
      </w:tr>
      <w:tr w:rsidR="0059070D" w:rsidTr="0059070D">
        <w:tc>
          <w:tcPr>
            <w:tcW w:w="10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Кипчаковская СОШ</w:t>
            </w:r>
          </w:p>
        </w:tc>
      </w:tr>
      <w:tr w:rsidR="0059070D" w:rsidTr="005907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ОШ-1</w:t>
            </w:r>
          </w:p>
        </w:tc>
      </w:tr>
      <w:tr w:rsidR="0059070D" w:rsidTr="005907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70D" w:rsidTr="005907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Обучение  по программам</w:t>
            </w:r>
            <w:proofErr w:type="gramEnd"/>
            <w:r>
              <w:rPr>
                <w:rFonts w:ascii="Times New Roman" w:hAnsi="Times New Roman" w:cs="Times New Roman"/>
              </w:rPr>
              <w:t xml:space="preserve"> среднего общего (полного) </w:t>
            </w:r>
            <w:r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70D" w:rsidTr="0059070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70D" w:rsidRDefault="0059070D" w:rsidP="0059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9070D" w:rsidRDefault="0059070D" w:rsidP="005907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9070D" w:rsidRDefault="0059070D" w:rsidP="005907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3.2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Плановый   объем   оказываемых   услуг   (выполняемых   работ)  (в</w:t>
      </w:r>
      <w:proofErr w:type="gramEnd"/>
    </w:p>
    <w:p w:rsidR="0059070D" w:rsidRDefault="0059070D" w:rsidP="005907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стоимостных </w:t>
      </w:r>
      <w:proofErr w:type="gramStart"/>
      <w:r>
        <w:rPr>
          <w:rFonts w:ascii="Times New Roman" w:hAnsi="Times New Roman" w:cs="Times New Roman"/>
        </w:rPr>
        <w:t>показателях</w:t>
      </w:r>
      <w:proofErr w:type="gramEnd"/>
      <w:r>
        <w:rPr>
          <w:rFonts w:ascii="Times New Roman" w:hAnsi="Times New Roman" w:cs="Times New Roman"/>
        </w:rPr>
        <w:t xml:space="preserve">) </w:t>
      </w:r>
    </w:p>
    <w:p w:rsidR="0059070D" w:rsidRDefault="0059070D" w:rsidP="0059070D">
      <w:r>
        <w:t xml:space="preserve"> 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60"/>
        <w:gridCol w:w="104"/>
        <w:gridCol w:w="796"/>
        <w:gridCol w:w="1260"/>
        <w:gridCol w:w="1260"/>
        <w:gridCol w:w="1080"/>
        <w:gridCol w:w="1320"/>
        <w:gridCol w:w="1020"/>
        <w:gridCol w:w="351"/>
        <w:gridCol w:w="669"/>
        <w:gridCol w:w="1500"/>
      </w:tblGrid>
      <w:tr w:rsidR="0059070D" w:rsidTr="0059070D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ind w:left="-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показа-теля</w:t>
            </w:r>
            <w:proofErr w:type="spellEnd"/>
            <w:proofErr w:type="gramEnd"/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Финансовые затраты на единицу услуги (работы), (руб.)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услуг (работ), тыс. руб.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информации о значении показателя</w:t>
            </w:r>
          </w:p>
        </w:tc>
      </w:tr>
      <w:tr w:rsidR="0059070D" w:rsidTr="0059070D">
        <w:tc>
          <w:tcPr>
            <w:tcW w:w="10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D" w:rsidRDefault="0059070D"/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D" w:rsidRDefault="0059070D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финансовый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финансовый год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70D" w:rsidRDefault="0059070D"/>
        </w:tc>
      </w:tr>
      <w:tr w:rsidR="0059070D" w:rsidTr="0059070D"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Кипчаковская СОШ</w:t>
            </w:r>
          </w:p>
        </w:tc>
      </w:tr>
      <w:tr w:rsidR="0059070D" w:rsidTr="0059070D"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програм-мам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началь-ного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общего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27518,8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2099665,0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2857025,0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70D" w:rsidTr="0059070D"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програм-мам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основного общего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50058,5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56610,6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5892833,0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5622615,0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70D" w:rsidTr="0059070D"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програм-мам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среднего общего (полного)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57439,5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997502,0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1425360,0</w:t>
            </w: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</w:p>
          <w:p w:rsidR="0059070D" w:rsidRDefault="0059070D">
            <w:pPr>
              <w:spacing w:line="276" w:lineRule="auto"/>
            </w:pPr>
            <w:r>
              <w:t>9905000,0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70D" w:rsidRDefault="0059070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070D" w:rsidRDefault="0059070D" w:rsidP="0059070D">
      <w:pPr>
        <w:ind w:left="-540"/>
        <w:jc w:val="both"/>
      </w:pPr>
      <w:r>
        <w:t xml:space="preserve"> 4. Условия финансирования муниципального задания – предоставление  субсидий</w:t>
      </w:r>
    </w:p>
    <w:p w:rsidR="0059070D" w:rsidRDefault="0059070D" w:rsidP="0059070D">
      <w:pPr>
        <w:jc w:val="both"/>
        <w:rPr>
          <w:color w:val="000000"/>
        </w:rPr>
      </w:pPr>
      <w:r>
        <w:t xml:space="preserve">                                   </w:t>
      </w:r>
    </w:p>
    <w:tbl>
      <w:tblPr>
        <w:tblStyle w:val="a6"/>
        <w:tblW w:w="0" w:type="auto"/>
        <w:tblInd w:w="0" w:type="dxa"/>
        <w:tblLook w:val="04A0"/>
      </w:tblPr>
      <w:tblGrid>
        <w:gridCol w:w="2392"/>
        <w:gridCol w:w="2393"/>
        <w:gridCol w:w="2393"/>
        <w:gridCol w:w="2393"/>
      </w:tblGrid>
      <w:tr w:rsidR="0059070D" w:rsidTr="0059070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 исполнения</w:t>
            </w:r>
          </w:p>
        </w:tc>
      </w:tr>
      <w:tr w:rsidR="0059070D" w:rsidTr="0059070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Муниципальное задание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9087,2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7132,8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78,5</w:t>
            </w:r>
          </w:p>
        </w:tc>
      </w:tr>
      <w:tr w:rsidR="0059070D" w:rsidTr="0059070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цели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664,7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351,8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52,9</w:t>
            </w:r>
          </w:p>
        </w:tc>
      </w:tr>
      <w:tr w:rsidR="0059070D" w:rsidTr="0059070D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Публичные обязательства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441,7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213,0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48,2</w:t>
            </w:r>
          </w:p>
        </w:tc>
      </w:tr>
    </w:tbl>
    <w:p w:rsidR="0059070D" w:rsidRDefault="0059070D" w:rsidP="0059070D"/>
    <w:p w:rsidR="0059070D" w:rsidRDefault="0059070D" w:rsidP="0059070D">
      <w:r>
        <w:t>5. Программа действий учреждения  по оказанию муниципальных услуг</w:t>
      </w:r>
    </w:p>
    <w:p w:rsidR="0059070D" w:rsidRDefault="0059070D" w:rsidP="0059070D"/>
    <w:tbl>
      <w:tblPr>
        <w:tblStyle w:val="a6"/>
        <w:tblW w:w="0" w:type="auto"/>
        <w:tblInd w:w="0" w:type="dxa"/>
        <w:tblLook w:val="04A0"/>
      </w:tblPr>
      <w:tblGrid>
        <w:gridCol w:w="7338"/>
        <w:gridCol w:w="2233"/>
      </w:tblGrid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% выполнения (чел)/ </w:t>
            </w:r>
            <w:proofErr w:type="gramStart"/>
            <w:r>
              <w:rPr>
                <w:sz w:val="24"/>
                <w:szCs w:val="24"/>
                <w:lang w:eastAsia="en-US"/>
              </w:rPr>
              <w:t>планируемый</w:t>
            </w:r>
            <w:proofErr w:type="gramEnd"/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Выполнение учебного плана школы. Полнота реализации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образователь-ных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программ. Выполнение учебных программ.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        /100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Обеспеченность общеобразовательных учреждений компьютерной техникой.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3чел      /  не более 20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spacing w:before="100" w:beforeAutospacing="1" w:after="100" w:afterAutospacing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обучающихся, имеющих по итогам учебного года отметку «3» и выше к общему числу обучающихся.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    / не менее 98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Количество обучающихся, имеющих по итогам учебного года отметку «4» и выше к общему числу обучающихся.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38 %     /не менее 35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государственной (итоговой) аттестации в новой форме. Уровень обученности выпускников 9 классов по русскому языку.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  / не менее 85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государственной (итоговой) аттестации в новой форме. Уровень обученности выпускников 9 классов по математике.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83,3%  / не менее 80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единого государственного экзамена. Уровень обученности выпускников 11,12 классов по русскому языку.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  /не менее 99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Результаты единого государственного экзамена. Уровень обученности выпускников 11,12 классов по математике.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  /не менее 99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учащихся, получивших основное общее образование.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100%   /100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выпускников 9 классов, перешедших к следующему уровню образования (10-11(12) классы).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100%  / не менее 50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Удельный вес выпускников 11(12) классов муниципальных общеобразовательных учреждений, не получивших аттестат об образовании, в общей численности выпускников 11(12) классов.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0 %      /не более 2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Удельный вес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охваченных дополнительным образованием, организованным </w:t>
            </w:r>
            <w:proofErr w:type="spellStart"/>
            <w:r>
              <w:rPr>
                <w:sz w:val="24"/>
                <w:szCs w:val="24"/>
                <w:lang w:eastAsia="en-US"/>
              </w:rPr>
              <w:t>щколой</w:t>
            </w:r>
            <w:proofErr w:type="spellEnd"/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96 %    /не менее 30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детей организованными формами отдыха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25 %     / 98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детей «группы риска» организованными формами отдыха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   /100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Охват учащихся в учреждении горячим питанием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100 %   / не менее 60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безопасного и безаварийного подвоза учащихся. Охват учащихся организованным подвозом.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100%   / 100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педагогических работников с высшим образованием от общего количества кадров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94 %   /не менее 94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аттестованных педагогических работников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68,8 %  /не менее 87</w:t>
            </w:r>
          </w:p>
        </w:tc>
      </w:tr>
      <w:tr w:rsidR="0059070D" w:rsidTr="0059070D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Удовлетворенность потребителей качеством работы учреждения.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70D" w:rsidRDefault="0059070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82 %    /не менее 75</w:t>
            </w:r>
          </w:p>
        </w:tc>
      </w:tr>
    </w:tbl>
    <w:p w:rsidR="0059070D" w:rsidRDefault="0059070D" w:rsidP="0059070D"/>
    <w:p w:rsidR="0059070D" w:rsidRDefault="0059070D" w:rsidP="0059070D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  Панина В.Ю.</w:t>
      </w:r>
    </w:p>
    <w:p w:rsidR="0059070D" w:rsidRDefault="0059070D" w:rsidP="0059070D"/>
    <w:p w:rsidR="008F5733" w:rsidRDefault="008F5733"/>
    <w:sectPr w:rsidR="008F5733" w:rsidSect="008F5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070D"/>
    <w:rsid w:val="0059070D"/>
    <w:rsid w:val="008F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59070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rsid w:val="005907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Таблицы (моноширинный)"/>
    <w:basedOn w:val="a"/>
    <w:next w:val="a"/>
    <w:rsid w:val="0059070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5907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Панина В.Ю.</dc:creator>
  <cp:keywords/>
  <dc:description/>
  <cp:lastModifiedBy>Панина В.Ю.</cp:lastModifiedBy>
  <cp:revision>3</cp:revision>
  <dcterms:created xsi:type="dcterms:W3CDTF">2012-10-22T10:26:00Z</dcterms:created>
  <dcterms:modified xsi:type="dcterms:W3CDTF">2012-10-22T10:27:00Z</dcterms:modified>
</cp:coreProperties>
</file>